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2A55E" w14:textId="77777777" w:rsidR="000625D4" w:rsidRPr="002F475F" w:rsidRDefault="00BC030D" w:rsidP="006C7527">
      <w:pPr>
        <w:pStyle w:val="Padro"/>
        <w:ind w:hanging="11"/>
        <w:jc w:val="both"/>
        <w:rPr>
          <w:rFonts w:ascii="Arial" w:hAnsi="Arial" w:cs="Arial"/>
          <w:lang w:val="pt-PT"/>
        </w:rPr>
      </w:pPr>
      <w:r w:rsidRPr="002F475F">
        <w:rPr>
          <w:rFonts w:ascii="Arial" w:hAnsi="Arial" w:cs="Arial"/>
          <w:lang w:val="pt-PT"/>
        </w:rPr>
        <w:t>REFERÊNCIA: PARECER</w:t>
      </w:r>
      <w:r w:rsidR="000625D4" w:rsidRPr="002F475F">
        <w:rPr>
          <w:rFonts w:ascii="Arial" w:hAnsi="Arial" w:cs="Arial"/>
          <w:lang w:val="pt-PT"/>
        </w:rPr>
        <w:t xml:space="preserve"> EMITIDO PELO TRIBUNAL DE CONTAS DO ESTADO DE SÃO PAULO SOBRE AS CONTAS DA PREFEITURA </w:t>
      </w:r>
      <w:r w:rsidRPr="002F475F">
        <w:rPr>
          <w:rFonts w:ascii="Arial" w:hAnsi="Arial" w:cs="Arial"/>
          <w:lang w:val="pt-PT"/>
        </w:rPr>
        <w:t>RELATIVAS AO EXERCÍCIO DE 202</w:t>
      </w:r>
      <w:r w:rsidR="007E242F" w:rsidRPr="002F475F">
        <w:rPr>
          <w:rFonts w:ascii="Arial" w:hAnsi="Arial" w:cs="Arial"/>
          <w:lang w:val="pt-PT"/>
        </w:rPr>
        <w:t>2</w:t>
      </w:r>
      <w:r w:rsidRPr="002F475F">
        <w:rPr>
          <w:rFonts w:ascii="Arial" w:hAnsi="Arial" w:cs="Arial"/>
          <w:lang w:val="pt-PT"/>
        </w:rPr>
        <w:t xml:space="preserve"> - PROCESSO TC</w:t>
      </w:r>
      <w:r w:rsidR="007E242F" w:rsidRPr="002F475F">
        <w:rPr>
          <w:rFonts w:ascii="Arial" w:hAnsi="Arial" w:cs="Arial"/>
          <w:lang w:val="pt-PT"/>
        </w:rPr>
        <w:t>-004302.989.22-3</w:t>
      </w:r>
      <w:r w:rsidR="000625D4" w:rsidRPr="002F475F">
        <w:rPr>
          <w:rFonts w:ascii="Arial" w:hAnsi="Arial" w:cs="Arial"/>
          <w:lang w:val="pt-PT"/>
        </w:rPr>
        <w:t>.</w:t>
      </w:r>
    </w:p>
    <w:p w14:paraId="73AEE52E" w14:textId="77777777" w:rsidR="00D00672" w:rsidRPr="002F475F" w:rsidRDefault="00D00672" w:rsidP="006C7527">
      <w:pPr>
        <w:pStyle w:val="Padro"/>
        <w:spacing w:line="360" w:lineRule="auto"/>
        <w:ind w:hanging="9"/>
        <w:jc w:val="both"/>
        <w:rPr>
          <w:rFonts w:ascii="Arial" w:hAnsi="Arial" w:cs="Arial"/>
          <w:b/>
          <w:bCs/>
          <w:u w:val="single"/>
          <w:lang w:val="pt-PT"/>
        </w:rPr>
      </w:pPr>
    </w:p>
    <w:p w14:paraId="179B1458" w14:textId="77777777" w:rsidR="002F475F" w:rsidRPr="002F475F" w:rsidRDefault="002F475F" w:rsidP="002F475F">
      <w:pPr>
        <w:pStyle w:val="Padro"/>
        <w:spacing w:line="360" w:lineRule="auto"/>
        <w:ind w:right="697"/>
        <w:jc w:val="both"/>
        <w:rPr>
          <w:rFonts w:ascii="Arial" w:hAnsi="Arial" w:cs="Arial"/>
          <w:b/>
          <w:bCs/>
          <w:u w:val="single"/>
          <w:lang w:val="pt-PT"/>
        </w:rPr>
      </w:pPr>
      <w:r w:rsidRPr="002F475F">
        <w:rPr>
          <w:rFonts w:ascii="Arial" w:hAnsi="Arial" w:cs="Arial"/>
          <w:b/>
          <w:bCs/>
          <w:u w:val="single"/>
          <w:lang w:val="pt-PT"/>
        </w:rPr>
        <w:t xml:space="preserve">I - O RELATÓRIO </w:t>
      </w:r>
    </w:p>
    <w:p w14:paraId="3368268C" w14:textId="77777777" w:rsidR="002F475F" w:rsidRPr="002F475F" w:rsidRDefault="002F475F" w:rsidP="006C7527">
      <w:pPr>
        <w:pStyle w:val="Padro"/>
        <w:ind w:firstLine="567"/>
        <w:jc w:val="both"/>
        <w:rPr>
          <w:rFonts w:ascii="Arial" w:hAnsi="Arial" w:cs="Arial"/>
          <w:lang w:val="pt-PT"/>
        </w:rPr>
      </w:pPr>
    </w:p>
    <w:p w14:paraId="3D9B93A3" w14:textId="77777777" w:rsidR="00D00672" w:rsidRPr="002F475F" w:rsidRDefault="00D00672" w:rsidP="00740434">
      <w:pPr>
        <w:pStyle w:val="Padro"/>
        <w:ind w:firstLine="1418"/>
        <w:jc w:val="both"/>
        <w:rPr>
          <w:rFonts w:ascii="Arial" w:hAnsi="Arial" w:cs="Arial"/>
          <w:lang w:val="pt-PT"/>
        </w:rPr>
      </w:pPr>
      <w:r w:rsidRPr="002F475F">
        <w:rPr>
          <w:rFonts w:ascii="Arial" w:hAnsi="Arial" w:cs="Arial"/>
          <w:lang w:val="pt-PT"/>
        </w:rPr>
        <w:t>A Lei Orgânica de Município de Botucatu (LOMB), no artigo 15, XIII</w:t>
      </w:r>
      <w:r w:rsidR="006A4B45" w:rsidRPr="002F475F">
        <w:rPr>
          <w:rFonts w:ascii="Arial" w:hAnsi="Arial" w:cs="Arial"/>
          <w:lang w:val="pt-PT"/>
        </w:rPr>
        <w:t>,</w:t>
      </w:r>
      <w:r w:rsidRPr="002F475F">
        <w:rPr>
          <w:rFonts w:ascii="Arial" w:hAnsi="Arial" w:cs="Arial"/>
          <w:lang w:val="pt-PT"/>
        </w:rPr>
        <w:t xml:space="preserve"> estabelece que compete à Câmara Municipal tomar e julgar as contas do Prefeito, no prazo de 60 (sessenta) dias após o recebimento do parecer prévio do Tribunal de Contas do Estado.</w:t>
      </w:r>
    </w:p>
    <w:p w14:paraId="147BB8B2" w14:textId="77777777" w:rsidR="00D00672" w:rsidRDefault="00D00672" w:rsidP="00740434">
      <w:pPr>
        <w:pStyle w:val="Padro"/>
        <w:ind w:firstLine="1418"/>
        <w:jc w:val="both"/>
        <w:rPr>
          <w:rFonts w:ascii="Arial" w:hAnsi="Arial" w:cs="Arial"/>
          <w:lang w:val="pt-PT"/>
        </w:rPr>
      </w:pPr>
      <w:r w:rsidRPr="002F475F">
        <w:rPr>
          <w:rFonts w:ascii="Arial" w:hAnsi="Arial" w:cs="Arial"/>
          <w:lang w:val="pt-PT"/>
        </w:rPr>
        <w:t>O procedimento de julgamento das contas do Prefeito está previsto no Regimento Interno da Câmara Municipal, artigos 254 e seguintes, dos quais se extrai:</w:t>
      </w:r>
    </w:p>
    <w:p w14:paraId="69694E64" w14:textId="77777777" w:rsidR="00740434" w:rsidRPr="002F475F" w:rsidRDefault="00740434" w:rsidP="00740434">
      <w:pPr>
        <w:pStyle w:val="Padro"/>
        <w:ind w:firstLine="1418"/>
        <w:jc w:val="both"/>
        <w:rPr>
          <w:rFonts w:ascii="Arial" w:hAnsi="Arial" w:cs="Arial"/>
          <w:lang w:val="pt-PT"/>
        </w:rPr>
      </w:pPr>
    </w:p>
    <w:p w14:paraId="07F14858" w14:textId="77777777" w:rsidR="00D00672" w:rsidRPr="002F475F" w:rsidRDefault="006C7527" w:rsidP="00740434">
      <w:pPr>
        <w:pStyle w:val="Padro"/>
        <w:ind w:left="567"/>
        <w:jc w:val="both"/>
        <w:rPr>
          <w:rFonts w:ascii="Arial" w:hAnsi="Arial" w:cs="Arial"/>
          <w:i/>
          <w:iCs/>
          <w:lang w:val="pt-PT"/>
        </w:rPr>
      </w:pPr>
      <w:r w:rsidRPr="002F475F">
        <w:rPr>
          <w:rFonts w:ascii="Arial" w:hAnsi="Arial" w:cs="Arial"/>
          <w:i/>
          <w:iCs/>
          <w:lang w:val="pt-PT"/>
        </w:rPr>
        <w:t>“</w:t>
      </w:r>
      <w:r w:rsidR="00D00672" w:rsidRPr="002F475F">
        <w:rPr>
          <w:rFonts w:ascii="Arial" w:hAnsi="Arial" w:cs="Arial"/>
          <w:i/>
          <w:iCs/>
          <w:lang w:val="pt-PT"/>
        </w:rPr>
        <w:t>Art. 254 - Recebido o processo do Tribunal de Contas do Estado de São Paulo, a Mesa distribuirá cópias do respectivo parecer prévio aos Vereadores, enviando-o à Comissão de Orçamento, Finanças e Contabilidade no prazo de 3 (três) dias.</w:t>
      </w:r>
    </w:p>
    <w:p w14:paraId="4E710EAA" w14:textId="77777777" w:rsidR="00D00672" w:rsidRPr="002F475F" w:rsidRDefault="00D00672" w:rsidP="00740434">
      <w:pPr>
        <w:pStyle w:val="Padro"/>
        <w:ind w:left="567"/>
        <w:jc w:val="both"/>
        <w:rPr>
          <w:rFonts w:ascii="Arial" w:hAnsi="Arial" w:cs="Arial"/>
          <w:i/>
          <w:iCs/>
          <w:lang w:val="pt-PT"/>
        </w:rPr>
      </w:pPr>
      <w:r w:rsidRPr="002F475F">
        <w:rPr>
          <w:rFonts w:ascii="Arial" w:hAnsi="Arial" w:cs="Arial"/>
          <w:i/>
          <w:iCs/>
          <w:lang w:val="pt-PT"/>
        </w:rPr>
        <w:t>§ 1º - Se o Parecer do Tribunal de Contas for pela rejeição das contas, o interessado deverá ser intimado para apresentação de defesa perante a Comissão, no prazo de 10 (dez) dias, a contar do efetivo recebimento da notificação, podendo, neste prazo, arrolar testemunhas e juntar documentos.</w:t>
      </w:r>
      <w:r w:rsidR="006C7527" w:rsidRPr="002F475F">
        <w:rPr>
          <w:rFonts w:ascii="Arial" w:hAnsi="Arial" w:cs="Arial"/>
          <w:i/>
          <w:iCs/>
          <w:lang w:val="pt-PT"/>
        </w:rPr>
        <w:t>”</w:t>
      </w:r>
    </w:p>
    <w:p w14:paraId="624C8086" w14:textId="77777777" w:rsidR="006C7527" w:rsidRPr="002F475F" w:rsidRDefault="006C7527" w:rsidP="00740434">
      <w:pPr>
        <w:pStyle w:val="Padro"/>
        <w:spacing w:line="360" w:lineRule="auto"/>
        <w:ind w:left="567" w:firstLine="1418"/>
        <w:jc w:val="both"/>
        <w:rPr>
          <w:rFonts w:ascii="Arial" w:hAnsi="Arial" w:cs="Arial"/>
          <w:i/>
          <w:iCs/>
          <w:lang w:val="pt-PT"/>
        </w:rPr>
      </w:pPr>
    </w:p>
    <w:p w14:paraId="2BEB7CAF" w14:textId="77777777" w:rsidR="00D00672" w:rsidRPr="00740434" w:rsidRDefault="00D00672" w:rsidP="00740434">
      <w:pPr>
        <w:pStyle w:val="Padro"/>
        <w:ind w:firstLine="1418"/>
        <w:jc w:val="both"/>
        <w:rPr>
          <w:rFonts w:ascii="Arial" w:hAnsi="Arial" w:cs="Arial"/>
          <w:b/>
          <w:lang w:val="pt-PT"/>
        </w:rPr>
      </w:pPr>
      <w:r w:rsidRPr="002F475F">
        <w:rPr>
          <w:rFonts w:ascii="Arial" w:hAnsi="Arial" w:cs="Arial"/>
          <w:lang w:val="pt-PT"/>
        </w:rPr>
        <w:t xml:space="preserve">No caso em análise, o parecer prévio exarado pelo Egrégio Tribunal de Contas foi </w:t>
      </w:r>
      <w:r w:rsidR="006A4B45" w:rsidRPr="002F475F">
        <w:rPr>
          <w:rFonts w:ascii="Arial" w:hAnsi="Arial" w:cs="Arial"/>
          <w:lang w:val="pt-PT"/>
        </w:rPr>
        <w:t>favorável às</w:t>
      </w:r>
      <w:r w:rsidRPr="002F475F">
        <w:rPr>
          <w:rFonts w:ascii="Arial" w:hAnsi="Arial" w:cs="Arial"/>
          <w:lang w:val="pt-PT"/>
        </w:rPr>
        <w:t xml:space="preserve"> contas da Prefeitura Municipal relativas ao </w:t>
      </w:r>
      <w:r w:rsidRPr="009F7117">
        <w:rPr>
          <w:rFonts w:ascii="Arial" w:hAnsi="Arial" w:cs="Arial"/>
          <w:b/>
          <w:lang w:val="pt-PT"/>
        </w:rPr>
        <w:t>exercício de 202</w:t>
      </w:r>
      <w:r w:rsidR="009F7117" w:rsidRPr="009F7117">
        <w:rPr>
          <w:rFonts w:ascii="Arial" w:hAnsi="Arial" w:cs="Arial"/>
          <w:b/>
          <w:lang w:val="pt-PT"/>
        </w:rPr>
        <w:t>2</w:t>
      </w:r>
      <w:r w:rsidRPr="00740434">
        <w:rPr>
          <w:rFonts w:ascii="Arial" w:hAnsi="Arial" w:cs="Arial"/>
          <w:b/>
          <w:lang w:val="pt-PT"/>
        </w:rPr>
        <w:t xml:space="preserve">, </w:t>
      </w:r>
      <w:r w:rsidR="006A4B45" w:rsidRPr="00740434">
        <w:rPr>
          <w:rFonts w:ascii="Arial" w:hAnsi="Arial" w:cs="Arial"/>
          <w:b/>
          <w:lang w:val="pt-PT"/>
        </w:rPr>
        <w:t>sob recomendações.</w:t>
      </w:r>
    </w:p>
    <w:p w14:paraId="041AFD8D" w14:textId="77777777" w:rsidR="006C7527" w:rsidRPr="002F475F" w:rsidRDefault="006C7527" w:rsidP="00740434">
      <w:pPr>
        <w:pStyle w:val="Padro"/>
        <w:spacing w:line="360" w:lineRule="auto"/>
        <w:ind w:firstLine="1418"/>
        <w:jc w:val="both"/>
        <w:rPr>
          <w:rFonts w:ascii="Arial" w:hAnsi="Arial" w:cs="Arial"/>
          <w:lang w:val="pt-PT"/>
        </w:rPr>
      </w:pPr>
    </w:p>
    <w:p w14:paraId="1A7DB1A3" w14:textId="77777777" w:rsidR="00D00672" w:rsidRPr="002F475F" w:rsidRDefault="00D00672" w:rsidP="00740434">
      <w:pPr>
        <w:pStyle w:val="Padro"/>
        <w:ind w:firstLine="1418"/>
        <w:jc w:val="both"/>
        <w:rPr>
          <w:rFonts w:ascii="Arial" w:hAnsi="Arial" w:cs="Arial"/>
          <w:lang w:val="pt-PT"/>
        </w:rPr>
      </w:pPr>
      <w:r w:rsidRPr="002F475F">
        <w:rPr>
          <w:rFonts w:ascii="Arial" w:hAnsi="Arial" w:cs="Arial"/>
          <w:lang w:val="pt-PT"/>
        </w:rPr>
        <w:t>Têm aplicação, no entanto, os seguintes dispositivos regimentais:</w:t>
      </w:r>
    </w:p>
    <w:p w14:paraId="63148285" w14:textId="77777777" w:rsidR="006C7527" w:rsidRPr="002F475F" w:rsidRDefault="006C7527" w:rsidP="00740434">
      <w:pPr>
        <w:pStyle w:val="Padro"/>
        <w:ind w:firstLine="1418"/>
        <w:jc w:val="both"/>
        <w:rPr>
          <w:rFonts w:ascii="Arial" w:hAnsi="Arial" w:cs="Arial"/>
          <w:lang w:val="pt-PT"/>
        </w:rPr>
      </w:pPr>
    </w:p>
    <w:p w14:paraId="24E00D06" w14:textId="77777777" w:rsidR="00D00672" w:rsidRPr="002F475F" w:rsidRDefault="00D00672" w:rsidP="00740434">
      <w:pPr>
        <w:pStyle w:val="Padro"/>
        <w:ind w:left="567"/>
        <w:jc w:val="both"/>
        <w:rPr>
          <w:rFonts w:ascii="Arial" w:hAnsi="Arial" w:cs="Arial"/>
          <w:i/>
          <w:iCs/>
          <w:lang w:val="pt-PT"/>
        </w:rPr>
      </w:pPr>
      <w:r w:rsidRPr="002F475F">
        <w:rPr>
          <w:rFonts w:ascii="Arial" w:hAnsi="Arial" w:cs="Arial"/>
          <w:i/>
          <w:iCs/>
          <w:lang w:val="pt-PT"/>
        </w:rPr>
        <w:t>Art. 255 - A Câmara Municipal de Botucatu tem o prazo máximo de 60 (sessenta) dias, a contar do recebimento do parecer prévio do Tribunal de Contas, para julgar as contas do Prefeito Municipal, observados os seguintes preceitos:</w:t>
      </w:r>
    </w:p>
    <w:p w14:paraId="42605773" w14:textId="77777777" w:rsidR="00D00672" w:rsidRPr="002F475F" w:rsidRDefault="00D00672" w:rsidP="00740434">
      <w:pPr>
        <w:pStyle w:val="Padro"/>
        <w:ind w:left="567"/>
        <w:jc w:val="both"/>
        <w:rPr>
          <w:rFonts w:ascii="Arial" w:hAnsi="Arial" w:cs="Arial"/>
          <w:i/>
          <w:iCs/>
          <w:lang w:val="pt-PT"/>
        </w:rPr>
      </w:pPr>
    </w:p>
    <w:p w14:paraId="0507C06E" w14:textId="77777777" w:rsidR="00D00672" w:rsidRPr="002F475F" w:rsidRDefault="00D00672" w:rsidP="00740434">
      <w:pPr>
        <w:pStyle w:val="Padro"/>
        <w:ind w:left="567"/>
        <w:jc w:val="both"/>
        <w:rPr>
          <w:rFonts w:ascii="Arial" w:hAnsi="Arial" w:cs="Arial"/>
          <w:i/>
          <w:iCs/>
          <w:lang w:val="pt-PT"/>
        </w:rPr>
      </w:pPr>
      <w:r w:rsidRPr="002F475F">
        <w:rPr>
          <w:rFonts w:ascii="Arial" w:hAnsi="Arial" w:cs="Arial"/>
          <w:i/>
          <w:iCs/>
          <w:lang w:val="pt-PT"/>
        </w:rPr>
        <w:t>I - As contas do Município deverão ficar, durante 50 (cinqüenta) dias, à disposição de qualquer contribuinte, em local de fácil acesso, para exame e apreciação, o qual poderá questionar-lhes a legitimidade nos termos da lei;</w:t>
      </w:r>
    </w:p>
    <w:p w14:paraId="156DF3C9" w14:textId="77777777" w:rsidR="006C7527" w:rsidRPr="002F475F" w:rsidRDefault="00D00672" w:rsidP="00740434">
      <w:pPr>
        <w:pStyle w:val="Padro"/>
        <w:ind w:left="567"/>
        <w:jc w:val="both"/>
        <w:rPr>
          <w:rFonts w:ascii="Arial" w:hAnsi="Arial" w:cs="Arial"/>
          <w:i/>
          <w:iCs/>
          <w:lang w:val="pt-PT"/>
        </w:rPr>
      </w:pPr>
      <w:r w:rsidRPr="002F475F">
        <w:rPr>
          <w:rFonts w:ascii="Arial" w:hAnsi="Arial" w:cs="Arial"/>
          <w:i/>
          <w:iCs/>
          <w:lang w:val="pt-PT"/>
        </w:rPr>
        <w:t>II - No período previsto no inciso anterior, a Câmara Municipal de Botucatu manterá servidor apto a esclarecer os contribuintes;</w:t>
      </w:r>
    </w:p>
    <w:p w14:paraId="362E25DC" w14:textId="77777777" w:rsidR="00D00672" w:rsidRPr="002F475F" w:rsidRDefault="00D00672" w:rsidP="00740434">
      <w:pPr>
        <w:pStyle w:val="Padro"/>
        <w:ind w:left="567"/>
        <w:jc w:val="both"/>
        <w:rPr>
          <w:rFonts w:ascii="Arial" w:hAnsi="Arial" w:cs="Arial"/>
          <w:i/>
          <w:iCs/>
          <w:lang w:val="pt-PT"/>
        </w:rPr>
      </w:pPr>
      <w:r w:rsidRPr="002F475F">
        <w:rPr>
          <w:rFonts w:ascii="Arial" w:hAnsi="Arial" w:cs="Arial"/>
          <w:i/>
          <w:iCs/>
          <w:lang w:val="pt-PT"/>
        </w:rPr>
        <w:t>(...)</w:t>
      </w:r>
    </w:p>
    <w:p w14:paraId="236F3979" w14:textId="77777777" w:rsidR="006A4B45" w:rsidRPr="002F475F" w:rsidRDefault="006A4B45" w:rsidP="00740434">
      <w:pPr>
        <w:pStyle w:val="Padro"/>
        <w:ind w:left="567" w:firstLine="1418"/>
        <w:jc w:val="both"/>
        <w:rPr>
          <w:rFonts w:ascii="Arial" w:hAnsi="Arial" w:cs="Arial"/>
          <w:i/>
          <w:iCs/>
          <w:lang w:val="pt-PT"/>
        </w:rPr>
      </w:pPr>
    </w:p>
    <w:p w14:paraId="7CFC948B" w14:textId="77777777" w:rsidR="00D00672" w:rsidRPr="002F475F" w:rsidRDefault="00D00672" w:rsidP="00740434">
      <w:pPr>
        <w:pStyle w:val="Padro"/>
        <w:ind w:firstLine="1418"/>
        <w:jc w:val="both"/>
        <w:rPr>
          <w:rFonts w:ascii="Arial" w:hAnsi="Arial" w:cs="Arial"/>
          <w:lang w:val="pt-PT"/>
        </w:rPr>
      </w:pPr>
      <w:r w:rsidRPr="002F475F">
        <w:rPr>
          <w:rFonts w:ascii="Arial" w:hAnsi="Arial" w:cs="Arial"/>
          <w:lang w:val="pt-PT"/>
        </w:rPr>
        <w:t>Foram cumpridas as regras acima transcritas, sendo certo que dentro do prazo regimental os senhores vereadores foram comunicados sobre o recebimento do processo das contas, incluído o Parecer Prévio emitido pelo TCE. O processo, em seu inteiro teor, foi encaminhado à Comissão em m</w:t>
      </w:r>
      <w:r w:rsidR="009F7117">
        <w:rPr>
          <w:rFonts w:ascii="Arial" w:hAnsi="Arial" w:cs="Arial"/>
          <w:lang w:val="pt-PT"/>
        </w:rPr>
        <w:t>eio</w:t>
      </w:r>
      <w:r w:rsidRPr="002F475F">
        <w:rPr>
          <w:rFonts w:ascii="Arial" w:hAnsi="Arial" w:cs="Arial"/>
          <w:lang w:val="pt-PT"/>
        </w:rPr>
        <w:t xml:space="preserve"> digital, por se tratar de processo eletrônico, bem como disponibilizado aos vereadores para consulta e análise.</w:t>
      </w:r>
    </w:p>
    <w:p w14:paraId="00DBA48B" w14:textId="77777777" w:rsidR="00447771" w:rsidRPr="002F475F" w:rsidRDefault="00447771" w:rsidP="00740434">
      <w:pPr>
        <w:pStyle w:val="Padro"/>
        <w:ind w:firstLine="1418"/>
        <w:jc w:val="both"/>
        <w:rPr>
          <w:rFonts w:ascii="Arial" w:hAnsi="Arial" w:cs="Arial"/>
          <w:lang w:val="pt-PT"/>
        </w:rPr>
      </w:pPr>
    </w:p>
    <w:p w14:paraId="05440858" w14:textId="77777777" w:rsidR="002F475F" w:rsidRPr="002F475F" w:rsidRDefault="002F475F" w:rsidP="00740434">
      <w:pPr>
        <w:pStyle w:val="Padro"/>
        <w:spacing w:line="360" w:lineRule="auto"/>
        <w:ind w:left="567" w:firstLine="1418"/>
        <w:jc w:val="both"/>
        <w:rPr>
          <w:rFonts w:ascii="Arial" w:hAnsi="Arial" w:cs="Arial"/>
          <w:lang w:val="pt-PT"/>
        </w:rPr>
      </w:pPr>
      <w:r w:rsidRPr="002F475F">
        <w:rPr>
          <w:rFonts w:ascii="Arial" w:hAnsi="Arial" w:cs="Arial"/>
          <w:lang w:val="pt-PT"/>
        </w:rPr>
        <w:t>Feito o breve relatório, a Comissão passa diretamente às</w:t>
      </w:r>
      <w:r w:rsidR="00740434">
        <w:rPr>
          <w:rFonts w:ascii="Arial" w:hAnsi="Arial" w:cs="Arial"/>
          <w:lang w:val="pt-PT"/>
        </w:rPr>
        <w:t xml:space="preserve"> </w:t>
      </w:r>
      <w:r w:rsidRPr="002F475F">
        <w:rPr>
          <w:rFonts w:ascii="Arial" w:hAnsi="Arial" w:cs="Arial"/>
          <w:lang w:val="pt-PT"/>
        </w:rPr>
        <w:t>conclusões.</w:t>
      </w:r>
    </w:p>
    <w:p w14:paraId="1E00D304" w14:textId="77777777" w:rsidR="002F475F" w:rsidRPr="002F475F" w:rsidRDefault="002F475F" w:rsidP="00740434">
      <w:pPr>
        <w:pStyle w:val="Padro"/>
        <w:tabs>
          <w:tab w:val="left" w:pos="0"/>
        </w:tabs>
        <w:spacing w:line="360" w:lineRule="auto"/>
        <w:ind w:left="567" w:right="697" w:firstLine="1418"/>
        <w:jc w:val="both"/>
        <w:rPr>
          <w:rFonts w:ascii="Arial" w:hAnsi="Arial" w:cs="Arial"/>
          <w:b/>
          <w:bCs/>
          <w:u w:val="single"/>
          <w:lang w:val="pt-PT"/>
        </w:rPr>
      </w:pPr>
    </w:p>
    <w:p w14:paraId="20AC0486" w14:textId="77777777" w:rsidR="002F475F" w:rsidRPr="002F475F" w:rsidRDefault="002F475F" w:rsidP="00740434">
      <w:pPr>
        <w:pStyle w:val="Padro"/>
        <w:tabs>
          <w:tab w:val="left" w:pos="0"/>
        </w:tabs>
        <w:spacing w:line="360" w:lineRule="auto"/>
        <w:ind w:right="697"/>
        <w:jc w:val="both"/>
        <w:rPr>
          <w:rFonts w:ascii="Arial" w:hAnsi="Arial" w:cs="Arial"/>
          <w:b/>
          <w:bCs/>
          <w:u w:val="single"/>
          <w:lang w:val="pt-PT"/>
        </w:rPr>
      </w:pPr>
      <w:r w:rsidRPr="002F475F">
        <w:rPr>
          <w:rFonts w:ascii="Arial" w:hAnsi="Arial" w:cs="Arial"/>
          <w:b/>
          <w:bCs/>
          <w:u w:val="single"/>
          <w:lang w:val="pt-PT"/>
        </w:rPr>
        <w:t xml:space="preserve">II - CONCLUSÕES </w:t>
      </w:r>
    </w:p>
    <w:p w14:paraId="0236487C" w14:textId="77777777" w:rsidR="002F475F" w:rsidRPr="002F475F" w:rsidRDefault="002F475F" w:rsidP="00740434">
      <w:pPr>
        <w:pStyle w:val="Padro"/>
        <w:ind w:firstLine="1418"/>
        <w:jc w:val="both"/>
        <w:rPr>
          <w:rFonts w:ascii="Arial" w:hAnsi="Arial" w:cs="Arial"/>
          <w:lang w:val="pt-PT"/>
        </w:rPr>
      </w:pPr>
    </w:p>
    <w:p w14:paraId="778776ED" w14:textId="77777777" w:rsidR="0064542D" w:rsidRPr="002F475F" w:rsidRDefault="00D00672" w:rsidP="00740434">
      <w:pPr>
        <w:pStyle w:val="Padro"/>
        <w:ind w:firstLine="1418"/>
        <w:jc w:val="both"/>
        <w:rPr>
          <w:rFonts w:ascii="Arial" w:hAnsi="Arial" w:cs="Arial"/>
          <w:b/>
          <w:i/>
          <w:lang w:val="pt-PT"/>
        </w:rPr>
      </w:pPr>
      <w:r w:rsidRPr="002F475F">
        <w:rPr>
          <w:rFonts w:ascii="Arial" w:hAnsi="Arial" w:cs="Arial"/>
          <w:lang w:val="pt-PT"/>
        </w:rPr>
        <w:t xml:space="preserve">Feito o breve relatório, a Comissão </w:t>
      </w:r>
      <w:r w:rsidR="00447771" w:rsidRPr="002F475F">
        <w:rPr>
          <w:rFonts w:ascii="Arial" w:hAnsi="Arial" w:cs="Arial"/>
          <w:lang w:val="pt-PT"/>
        </w:rPr>
        <w:t xml:space="preserve">salienta que </w:t>
      </w:r>
      <w:r w:rsidRPr="002F475F">
        <w:rPr>
          <w:rFonts w:ascii="Arial" w:hAnsi="Arial" w:cs="Arial"/>
          <w:lang w:val="pt-PT"/>
        </w:rPr>
        <w:t xml:space="preserve">as considerações sobre </w:t>
      </w:r>
      <w:r w:rsidR="006A4B45" w:rsidRPr="002F475F">
        <w:rPr>
          <w:rFonts w:ascii="Arial" w:hAnsi="Arial" w:cs="Arial"/>
          <w:lang w:val="pt-PT"/>
        </w:rPr>
        <w:t>as recomendações discriminadas e inseridas nos autos</w:t>
      </w:r>
      <w:r w:rsidRPr="002F475F">
        <w:rPr>
          <w:rFonts w:ascii="Arial" w:hAnsi="Arial" w:cs="Arial"/>
          <w:lang w:val="pt-PT"/>
        </w:rPr>
        <w:t xml:space="preserve"> pelo </w:t>
      </w:r>
      <w:r w:rsidR="0064542D" w:rsidRPr="002F475F">
        <w:rPr>
          <w:rFonts w:ascii="Arial" w:hAnsi="Arial" w:cs="Arial"/>
          <w:lang w:val="pt-PT"/>
        </w:rPr>
        <w:t xml:space="preserve">Tribunal de </w:t>
      </w:r>
      <w:r w:rsidRPr="002F475F">
        <w:rPr>
          <w:rFonts w:ascii="Arial" w:hAnsi="Arial" w:cs="Arial"/>
          <w:lang w:val="pt-PT"/>
        </w:rPr>
        <w:t>Contas</w:t>
      </w:r>
      <w:r w:rsidR="006A4B45" w:rsidRPr="002F475F">
        <w:rPr>
          <w:rFonts w:ascii="Arial" w:hAnsi="Arial" w:cs="Arial"/>
          <w:lang w:val="pt-PT"/>
        </w:rPr>
        <w:t xml:space="preserve"> foram colocadas à Fiscalização daquela C</w:t>
      </w:r>
      <w:r w:rsidR="00447771" w:rsidRPr="002F475F">
        <w:rPr>
          <w:rFonts w:ascii="Arial" w:hAnsi="Arial" w:cs="Arial"/>
          <w:lang w:val="pt-PT"/>
        </w:rPr>
        <w:t>orte para avaliação das correções</w:t>
      </w:r>
      <w:r w:rsidR="006A4B45" w:rsidRPr="002F475F">
        <w:rPr>
          <w:rFonts w:ascii="Arial" w:hAnsi="Arial" w:cs="Arial"/>
          <w:lang w:val="pt-PT"/>
        </w:rPr>
        <w:t xml:space="preserve"> impostas.</w:t>
      </w:r>
      <w:r w:rsidR="006A4B45" w:rsidRPr="002F475F">
        <w:rPr>
          <w:rFonts w:ascii="Arial" w:hAnsi="Arial" w:cs="Arial"/>
          <w:b/>
          <w:i/>
          <w:lang w:val="pt-PT"/>
        </w:rPr>
        <w:t xml:space="preserve"> </w:t>
      </w:r>
    </w:p>
    <w:p w14:paraId="22EA5B4C" w14:textId="77777777" w:rsidR="006A4B45" w:rsidRPr="002F475F" w:rsidRDefault="006A4B45" w:rsidP="00740434">
      <w:pPr>
        <w:pStyle w:val="Padro"/>
        <w:ind w:firstLine="1418"/>
        <w:jc w:val="both"/>
        <w:rPr>
          <w:rFonts w:ascii="Arial" w:eastAsiaTheme="minorHAnsi" w:hAnsi="Arial" w:cs="Arial"/>
          <w:lang w:eastAsia="en-US"/>
        </w:rPr>
      </w:pPr>
    </w:p>
    <w:p w14:paraId="13BD48DB" w14:textId="77777777" w:rsidR="006C7527" w:rsidRDefault="00447771" w:rsidP="00740434">
      <w:pPr>
        <w:pStyle w:val="Padro"/>
        <w:tabs>
          <w:tab w:val="left" w:pos="0"/>
        </w:tabs>
        <w:ind w:firstLine="1418"/>
        <w:jc w:val="both"/>
        <w:rPr>
          <w:rFonts w:ascii="Arial" w:hAnsi="Arial" w:cs="Arial"/>
          <w:color w:val="000000"/>
          <w:lang w:val="pt-PT"/>
        </w:rPr>
      </w:pPr>
      <w:r w:rsidRPr="002F475F">
        <w:rPr>
          <w:rFonts w:ascii="Arial" w:hAnsi="Arial" w:cs="Arial"/>
          <w:color w:val="000000"/>
          <w:lang w:val="pt-PT"/>
        </w:rPr>
        <w:t xml:space="preserve">Importante demonstrar aqui que </w:t>
      </w:r>
      <w:r w:rsidR="00D00672" w:rsidRPr="002F475F">
        <w:rPr>
          <w:rFonts w:ascii="Arial" w:hAnsi="Arial" w:cs="Arial"/>
          <w:color w:val="000000"/>
          <w:lang w:val="pt-PT"/>
        </w:rPr>
        <w:t>as contas da Prefeitura Municipal de Botucatu relativas ao exercício de 202</w:t>
      </w:r>
      <w:r w:rsidR="00AD53DB">
        <w:rPr>
          <w:rFonts w:ascii="Arial" w:hAnsi="Arial" w:cs="Arial"/>
          <w:color w:val="000000"/>
          <w:lang w:val="pt-PT"/>
        </w:rPr>
        <w:t>2</w:t>
      </w:r>
      <w:r w:rsidR="00D00672" w:rsidRPr="002F475F">
        <w:rPr>
          <w:rFonts w:ascii="Arial" w:hAnsi="Arial" w:cs="Arial"/>
          <w:color w:val="000000"/>
          <w:lang w:val="pt-PT"/>
        </w:rPr>
        <w:t>, foram ap</w:t>
      </w:r>
      <w:r w:rsidR="00143DCB" w:rsidRPr="002F475F">
        <w:rPr>
          <w:rFonts w:ascii="Arial" w:hAnsi="Arial" w:cs="Arial"/>
          <w:color w:val="000000"/>
          <w:lang w:val="pt-PT"/>
        </w:rPr>
        <w:t>resentadas, conforme observamos</w:t>
      </w:r>
      <w:r w:rsidR="00740434">
        <w:rPr>
          <w:rFonts w:ascii="Arial" w:hAnsi="Arial" w:cs="Arial"/>
          <w:color w:val="000000"/>
          <w:lang w:val="pt-PT"/>
        </w:rPr>
        <w:t xml:space="preserve"> (na Conclusão, páginas 28 e 29)</w:t>
      </w:r>
      <w:r w:rsidR="00143DCB" w:rsidRPr="002F475F">
        <w:rPr>
          <w:rFonts w:ascii="Arial" w:hAnsi="Arial" w:cs="Arial"/>
          <w:color w:val="000000"/>
          <w:lang w:val="pt-PT"/>
        </w:rPr>
        <w:t>:</w:t>
      </w:r>
    </w:p>
    <w:p w14:paraId="5FA0AFA8" w14:textId="77777777" w:rsidR="00AD53DB" w:rsidRDefault="00AD53DB" w:rsidP="00740434">
      <w:pPr>
        <w:pStyle w:val="Padro"/>
        <w:tabs>
          <w:tab w:val="left" w:pos="0"/>
        </w:tabs>
        <w:ind w:firstLine="1418"/>
        <w:jc w:val="both"/>
        <w:rPr>
          <w:rFonts w:ascii="Arial" w:hAnsi="Arial" w:cs="Arial"/>
          <w:color w:val="000000"/>
          <w:lang w:val="pt-PT"/>
        </w:rPr>
      </w:pPr>
    </w:p>
    <w:p w14:paraId="327F9F6B" w14:textId="77777777" w:rsidR="00740434" w:rsidRPr="00740434" w:rsidRDefault="00AD53DB" w:rsidP="00740434">
      <w:pPr>
        <w:pStyle w:val="Padro"/>
        <w:tabs>
          <w:tab w:val="left" w:pos="0"/>
        </w:tabs>
        <w:ind w:firstLine="1418"/>
        <w:jc w:val="both"/>
        <w:rPr>
          <w:rFonts w:ascii="Arial" w:hAnsi="Arial" w:cs="Arial"/>
          <w:i/>
          <w:color w:val="000000"/>
          <w:lang w:val="pt-PT"/>
        </w:rPr>
      </w:pPr>
      <w:r w:rsidRPr="00740434">
        <w:rPr>
          <w:rFonts w:ascii="Arial" w:hAnsi="Arial" w:cs="Arial"/>
          <w:i/>
          <w:color w:val="000000"/>
          <w:lang w:val="pt-PT"/>
        </w:rPr>
        <w:t>“</w:t>
      </w:r>
      <w:r w:rsidR="00740434" w:rsidRPr="00740434">
        <w:rPr>
          <w:rFonts w:ascii="Arial" w:hAnsi="Arial" w:cs="Arial"/>
          <w:i/>
          <w:color w:val="000000"/>
          <w:lang w:val="pt-PT"/>
        </w:rPr>
        <w:t>O Executivo de Botucatu, em 2022, despendeu com pessoal valor equivalente a 39,84% de sua Receita Corrente Líquida, portanto, em obediência ao teto laboral de 54% fixado no artigo 20, inciso III, alínea “b”, da Lei de Responsabilidade Fiscal e abaixo do chamado “limite prudencial” (51,30%), disciplinado no parágrafo único do artigo 22 da mesma Lei Fiscal.</w:t>
      </w:r>
    </w:p>
    <w:p w14:paraId="6513881D" w14:textId="77777777" w:rsidR="00740434" w:rsidRPr="00740434" w:rsidRDefault="00740434" w:rsidP="00740434">
      <w:pPr>
        <w:pStyle w:val="Padro"/>
        <w:tabs>
          <w:tab w:val="left" w:pos="0"/>
        </w:tabs>
        <w:ind w:firstLine="1418"/>
        <w:jc w:val="both"/>
        <w:rPr>
          <w:rFonts w:ascii="Arial" w:hAnsi="Arial" w:cs="Arial"/>
          <w:i/>
          <w:color w:val="000000"/>
          <w:lang w:val="pt-PT"/>
        </w:rPr>
      </w:pPr>
      <w:r w:rsidRPr="00740434">
        <w:rPr>
          <w:rFonts w:ascii="Arial" w:hAnsi="Arial" w:cs="Arial"/>
          <w:i/>
          <w:color w:val="000000"/>
          <w:lang w:val="pt-PT"/>
        </w:rPr>
        <w:t>Quanto aos cálculos do ensino, o Município cumpriu o artigo 212 da Constituição Federal, aplicando valor equivalente a 25,58% das receitas resultantes de impostos.</w:t>
      </w:r>
    </w:p>
    <w:p w14:paraId="39599BE0" w14:textId="77777777" w:rsidR="00740434" w:rsidRPr="00740434" w:rsidRDefault="00740434" w:rsidP="00740434">
      <w:pPr>
        <w:pStyle w:val="Padro"/>
        <w:tabs>
          <w:tab w:val="left" w:pos="0"/>
        </w:tabs>
        <w:ind w:firstLine="1418"/>
        <w:jc w:val="both"/>
        <w:rPr>
          <w:rFonts w:ascii="Arial" w:hAnsi="Arial" w:cs="Arial"/>
          <w:i/>
          <w:color w:val="000000"/>
          <w:lang w:val="pt-PT"/>
        </w:rPr>
      </w:pPr>
      <w:r w:rsidRPr="00740434">
        <w:rPr>
          <w:rFonts w:ascii="Arial" w:hAnsi="Arial" w:cs="Arial"/>
          <w:i/>
          <w:color w:val="000000"/>
          <w:lang w:val="pt-PT"/>
        </w:rPr>
        <w:t>Utilizou 100% dos recursos recebidos do FUNDEB em 2022, na proporção de 90,05% até 31/12/2022 e 9,95% no primeiro quadrimestre de 2023, portanto, atendendo ao artigo 25, “caput” e §3º, da Lei Federal nº 14.113/2020.</w:t>
      </w:r>
    </w:p>
    <w:p w14:paraId="3DBDA3F6" w14:textId="77777777" w:rsidR="00740434" w:rsidRPr="00740434" w:rsidRDefault="00740434" w:rsidP="00740434">
      <w:pPr>
        <w:pStyle w:val="Padro"/>
        <w:tabs>
          <w:tab w:val="left" w:pos="0"/>
        </w:tabs>
        <w:ind w:firstLine="1418"/>
        <w:jc w:val="both"/>
        <w:rPr>
          <w:rFonts w:ascii="Arial" w:hAnsi="Arial" w:cs="Arial"/>
          <w:i/>
          <w:color w:val="000000"/>
          <w:lang w:val="pt-PT"/>
        </w:rPr>
      </w:pPr>
      <w:r w:rsidRPr="00740434">
        <w:rPr>
          <w:rFonts w:ascii="Arial" w:hAnsi="Arial" w:cs="Arial"/>
          <w:i/>
          <w:color w:val="000000"/>
          <w:lang w:val="pt-PT"/>
        </w:rPr>
        <w:t>Houve a aplicação de 70,06% do FUNDEB na remuneração dos profissionais da educação básica, sendo 60,11% até 31/12/2022 e 9,95% no primeiro quadrimestre de 2023, observando o preceituado no artigo 212-A, inciso XI, da Constituição Federal e no artigo 26 da Lei nº 14.113/2020.</w:t>
      </w:r>
    </w:p>
    <w:p w14:paraId="2F47E810" w14:textId="77777777" w:rsidR="00740434" w:rsidRPr="00740434" w:rsidRDefault="00740434" w:rsidP="00740434">
      <w:pPr>
        <w:pStyle w:val="Padro"/>
        <w:tabs>
          <w:tab w:val="left" w:pos="0"/>
        </w:tabs>
        <w:ind w:firstLine="1418"/>
        <w:jc w:val="both"/>
        <w:rPr>
          <w:rFonts w:ascii="Arial" w:hAnsi="Arial" w:cs="Arial"/>
          <w:i/>
          <w:color w:val="000000"/>
          <w:lang w:val="pt-PT"/>
        </w:rPr>
      </w:pPr>
      <w:r w:rsidRPr="00740434">
        <w:rPr>
          <w:rFonts w:ascii="Arial" w:hAnsi="Arial" w:cs="Arial"/>
          <w:i/>
          <w:color w:val="000000"/>
          <w:lang w:val="pt-PT"/>
        </w:rPr>
        <w:t>No que diz respeito à Saúde, o valor aplicado (equivalente a 25,13%) ultrapassou os 15% da receita de impostos, atendendo ao piso constitucional de investimento em ações e serviços públicos de saúde.</w:t>
      </w:r>
    </w:p>
    <w:p w14:paraId="749E8387" w14:textId="77777777" w:rsidR="00740434" w:rsidRPr="00740434" w:rsidRDefault="00740434" w:rsidP="00740434">
      <w:pPr>
        <w:pStyle w:val="Padro"/>
        <w:tabs>
          <w:tab w:val="left" w:pos="0"/>
        </w:tabs>
        <w:ind w:firstLine="1418"/>
        <w:jc w:val="both"/>
        <w:rPr>
          <w:rFonts w:ascii="Arial" w:hAnsi="Arial" w:cs="Arial"/>
          <w:i/>
          <w:color w:val="000000"/>
          <w:lang w:val="pt-PT"/>
        </w:rPr>
      </w:pPr>
      <w:r w:rsidRPr="00740434">
        <w:rPr>
          <w:rFonts w:ascii="Arial" w:hAnsi="Arial" w:cs="Arial"/>
          <w:i/>
          <w:color w:val="000000"/>
          <w:lang w:val="pt-PT"/>
        </w:rPr>
        <w:t>Desse modo, estritamente sob a ótica dos cálculos da DESPESA DE PESSOAL e das aplicações dos mínimos constitucionais e legais vinculados ao ENSINO e à SAÚDE, entendo que as contas em análise comportam parecer favorável.</w:t>
      </w:r>
    </w:p>
    <w:p w14:paraId="0028CA75" w14:textId="77777777" w:rsidR="00740434" w:rsidRPr="00740434" w:rsidRDefault="00740434" w:rsidP="00740434">
      <w:pPr>
        <w:pStyle w:val="Padro"/>
        <w:tabs>
          <w:tab w:val="left" w:pos="0"/>
        </w:tabs>
        <w:ind w:firstLine="1418"/>
        <w:jc w:val="both"/>
        <w:rPr>
          <w:rFonts w:ascii="Arial" w:hAnsi="Arial" w:cs="Arial"/>
          <w:i/>
          <w:color w:val="000000"/>
          <w:lang w:val="pt-PT"/>
        </w:rPr>
      </w:pPr>
      <w:r w:rsidRPr="00740434">
        <w:rPr>
          <w:rFonts w:ascii="Arial" w:hAnsi="Arial" w:cs="Arial"/>
          <w:i/>
          <w:color w:val="000000"/>
          <w:lang w:val="pt-PT"/>
        </w:rPr>
        <w:t>Quanto aos apontamentos relacionados à efetividade das políticas públicas na saúde e no ensino, saliento que na presente manifestação encontram-se conjugados com as apurações anotadas nas contas anuais precedentes, 2021, TC-7255/989/20, que compreenderam o primeiro ano do mandato da atual gestão.</w:t>
      </w:r>
    </w:p>
    <w:p w14:paraId="37EB9A16" w14:textId="77777777" w:rsidR="00740434" w:rsidRPr="00740434" w:rsidRDefault="00740434" w:rsidP="00740434">
      <w:pPr>
        <w:pStyle w:val="Padro"/>
        <w:tabs>
          <w:tab w:val="left" w:pos="0"/>
        </w:tabs>
        <w:ind w:firstLine="1418"/>
        <w:jc w:val="both"/>
        <w:rPr>
          <w:rFonts w:ascii="Arial" w:hAnsi="Arial" w:cs="Arial"/>
          <w:i/>
          <w:color w:val="000000"/>
          <w:lang w:val="pt-PT"/>
        </w:rPr>
      </w:pPr>
      <w:r w:rsidRPr="00740434">
        <w:rPr>
          <w:rFonts w:ascii="Arial" w:hAnsi="Arial" w:cs="Arial"/>
          <w:i/>
          <w:color w:val="000000"/>
          <w:lang w:val="pt-PT"/>
        </w:rPr>
        <w:t>A síntese dos apontamentos realizados nos exercícios de 2021 e 2022 visa contribuir com subsídios para que esta E. Corte de Contas possa avaliar, ao longo da gestão, se de fato a Administração Municipal está adotando efetivas providências na busca da melhora da qualidade dos serviços públicos colocados à disposição da população.</w:t>
      </w:r>
    </w:p>
    <w:p w14:paraId="6482FE94" w14:textId="77777777" w:rsidR="00740434" w:rsidRPr="00740434" w:rsidRDefault="00740434" w:rsidP="00740434">
      <w:pPr>
        <w:pStyle w:val="Padro"/>
        <w:tabs>
          <w:tab w:val="left" w:pos="0"/>
        </w:tabs>
        <w:ind w:firstLine="1418"/>
        <w:jc w:val="both"/>
        <w:rPr>
          <w:rFonts w:ascii="Arial" w:hAnsi="Arial" w:cs="Arial"/>
          <w:i/>
          <w:color w:val="000000"/>
          <w:lang w:val="pt-PT"/>
        </w:rPr>
      </w:pPr>
      <w:r w:rsidRPr="00740434">
        <w:rPr>
          <w:rFonts w:ascii="Arial" w:hAnsi="Arial" w:cs="Arial"/>
          <w:i/>
          <w:color w:val="000000"/>
          <w:lang w:val="pt-PT"/>
        </w:rPr>
        <w:lastRenderedPageBreak/>
        <w:t>Os resultados em comento indicam que persiste a necessidade de a Origem redobrar seus esforços para corrigir os pontos alçados pela fiscalização e pelos indicadores sociais incidentes, a fim de elevar o nível de resposta dos sistemas de planejamento, execução e controle, bem como na oferta de serviços suficientes e com qualidade à população.</w:t>
      </w:r>
    </w:p>
    <w:p w14:paraId="106D7206" w14:textId="77777777" w:rsidR="00AD53DB" w:rsidRDefault="00740434" w:rsidP="00740434">
      <w:pPr>
        <w:pStyle w:val="Padro"/>
        <w:tabs>
          <w:tab w:val="left" w:pos="0"/>
        </w:tabs>
        <w:ind w:firstLine="1418"/>
        <w:jc w:val="both"/>
        <w:rPr>
          <w:rFonts w:ascii="Arial" w:hAnsi="Arial" w:cs="Arial"/>
          <w:color w:val="000000"/>
          <w:lang w:val="pt-PT"/>
        </w:rPr>
      </w:pPr>
      <w:r w:rsidRPr="00740434">
        <w:rPr>
          <w:rFonts w:ascii="Arial" w:hAnsi="Arial" w:cs="Arial"/>
          <w:i/>
          <w:color w:val="000000"/>
          <w:lang w:val="pt-PT"/>
        </w:rPr>
        <w:t>Concluindo, conforme já vem sendo ponderado por esta E. Corte de Contas, os setores de educação e saúde contam com proteção constitucional, com recursos vinculados, de modo a atender a manutenção, o desenvolvimento e as ações relacionados a estes sensíveis setores, competindo à Administração realizar o planejamento atualizado e acompanhar a execução das respectivas políticas públicas, a fim alcançar as finalidades determinadas pelos mandamentos constitucionais.</w:t>
      </w:r>
      <w:r>
        <w:rPr>
          <w:rFonts w:ascii="Arial" w:hAnsi="Arial" w:cs="Arial"/>
          <w:i/>
          <w:color w:val="000000"/>
          <w:lang w:val="pt-PT"/>
        </w:rPr>
        <w:t>”</w:t>
      </w:r>
    </w:p>
    <w:p w14:paraId="51BC0621" w14:textId="77777777" w:rsidR="00AD53DB" w:rsidRPr="001F197E" w:rsidRDefault="00AD53DB" w:rsidP="00740434">
      <w:pPr>
        <w:pStyle w:val="Padro"/>
        <w:tabs>
          <w:tab w:val="left" w:pos="0"/>
        </w:tabs>
        <w:ind w:firstLine="1418"/>
        <w:jc w:val="both"/>
        <w:rPr>
          <w:rFonts w:ascii="Arial" w:hAnsi="Arial" w:cs="Arial"/>
          <w:lang w:val="pt-PT"/>
        </w:rPr>
      </w:pPr>
    </w:p>
    <w:p w14:paraId="3543F170" w14:textId="552E7B3D" w:rsidR="00DA63FA" w:rsidRPr="000E5625" w:rsidRDefault="00DA63FA" w:rsidP="00DA63FA">
      <w:pPr>
        <w:pStyle w:val="Padro"/>
        <w:tabs>
          <w:tab w:val="left" w:pos="0"/>
        </w:tabs>
        <w:ind w:firstLine="1418"/>
        <w:jc w:val="both"/>
        <w:rPr>
          <w:rFonts w:ascii="Arial" w:hAnsi="Arial" w:cs="Arial"/>
          <w:bCs/>
          <w:lang w:val="pt-PT"/>
        </w:rPr>
      </w:pPr>
      <w:r w:rsidRPr="001F197E">
        <w:rPr>
          <w:rFonts w:ascii="Arial" w:hAnsi="Arial" w:cs="Arial"/>
          <w:lang w:val="pt-PT"/>
        </w:rPr>
        <w:t xml:space="preserve">Diante de todo o exposto, </w:t>
      </w:r>
      <w:r w:rsidRPr="001F197E">
        <w:rPr>
          <w:rFonts w:ascii="Arial" w:hAnsi="Arial" w:cs="Arial"/>
          <w:b/>
          <w:lang w:val="pt-PT"/>
        </w:rPr>
        <w:t xml:space="preserve">a Comissão de Orçamento, Finanças e Contabilidade da Câmara Municipal de Botucatu </w:t>
      </w:r>
      <w:r w:rsidR="000E5625">
        <w:rPr>
          <w:rFonts w:ascii="Arial" w:hAnsi="Arial" w:cs="Arial"/>
          <w:b/>
          <w:lang w:val="pt-PT"/>
        </w:rPr>
        <w:t xml:space="preserve">opina </w:t>
      </w:r>
      <w:r w:rsidR="000E5625" w:rsidRPr="000E5625">
        <w:rPr>
          <w:rFonts w:ascii="Arial" w:hAnsi="Arial" w:cs="Arial"/>
          <w:bCs/>
          <w:lang w:val="pt-PT"/>
        </w:rPr>
        <w:t>pela</w:t>
      </w:r>
      <w:r w:rsidR="000E5625">
        <w:rPr>
          <w:rFonts w:ascii="Arial" w:hAnsi="Arial" w:cs="Arial"/>
          <w:b/>
          <w:lang w:val="pt-PT"/>
        </w:rPr>
        <w:t xml:space="preserve"> </w:t>
      </w:r>
      <w:r w:rsidR="000E5625" w:rsidRPr="000E5625">
        <w:rPr>
          <w:rFonts w:ascii="Arial" w:hAnsi="Arial" w:cs="Arial"/>
          <w:bCs/>
          <w:lang w:val="pt-PT"/>
        </w:rPr>
        <w:t>aprovação</w:t>
      </w:r>
      <w:r w:rsidRPr="000E5625">
        <w:rPr>
          <w:rFonts w:ascii="Arial" w:hAnsi="Arial" w:cs="Arial"/>
          <w:bCs/>
          <w:lang w:val="pt-PT"/>
        </w:rPr>
        <w:t xml:space="preserve"> </w:t>
      </w:r>
      <w:r w:rsidR="000E5625" w:rsidRPr="000E5625">
        <w:rPr>
          <w:rFonts w:ascii="Arial" w:hAnsi="Arial" w:cs="Arial"/>
          <w:bCs/>
          <w:lang w:val="pt-PT"/>
        </w:rPr>
        <w:t>d</w:t>
      </w:r>
      <w:r w:rsidRPr="000E5625">
        <w:rPr>
          <w:rFonts w:ascii="Arial" w:hAnsi="Arial" w:cs="Arial"/>
          <w:bCs/>
          <w:lang w:val="pt-PT"/>
        </w:rPr>
        <w:t>o</w:t>
      </w:r>
      <w:r w:rsidRPr="001F197E">
        <w:rPr>
          <w:rFonts w:ascii="Arial" w:hAnsi="Arial" w:cs="Arial"/>
          <w:lang w:val="pt-PT"/>
        </w:rPr>
        <w:t xml:space="preserve"> Parecer </w:t>
      </w:r>
      <w:r w:rsidR="000E5625">
        <w:rPr>
          <w:rFonts w:ascii="Arial" w:hAnsi="Arial" w:cs="Arial"/>
          <w:lang w:val="pt-PT"/>
        </w:rPr>
        <w:t xml:space="preserve">Prévio </w:t>
      </w:r>
      <w:r w:rsidRPr="001F197E">
        <w:rPr>
          <w:rFonts w:ascii="Arial" w:hAnsi="Arial" w:cs="Arial"/>
          <w:lang w:val="pt-PT"/>
        </w:rPr>
        <w:t>do Tribunal de Contas do Estado de São Paulo, referente</w:t>
      </w:r>
      <w:r w:rsidRPr="001F197E">
        <w:rPr>
          <w:rFonts w:ascii="Arial" w:hAnsi="Arial" w:cs="Arial"/>
          <w:b/>
          <w:lang w:val="pt-PT"/>
        </w:rPr>
        <w:t xml:space="preserve"> as contas da Prefeitura Municipal </w:t>
      </w:r>
      <w:r w:rsidR="001F197E" w:rsidRPr="001F197E">
        <w:rPr>
          <w:rFonts w:ascii="Arial" w:hAnsi="Arial" w:cs="Arial"/>
          <w:b/>
          <w:lang w:val="pt-PT"/>
        </w:rPr>
        <w:t>d</w:t>
      </w:r>
      <w:r w:rsidRPr="001F197E">
        <w:rPr>
          <w:rFonts w:ascii="Arial" w:hAnsi="Arial" w:cs="Arial"/>
          <w:b/>
          <w:lang w:val="pt-PT"/>
        </w:rPr>
        <w:t>o exercício de 2022</w:t>
      </w:r>
      <w:r w:rsidR="009329E1">
        <w:rPr>
          <w:rFonts w:ascii="Arial" w:hAnsi="Arial" w:cs="Arial"/>
          <w:b/>
          <w:lang w:val="pt-PT"/>
        </w:rPr>
        <w:t>,</w:t>
      </w:r>
      <w:r w:rsidR="000E5625">
        <w:rPr>
          <w:rFonts w:ascii="Arial" w:hAnsi="Arial" w:cs="Arial"/>
          <w:b/>
          <w:lang w:val="pt-PT"/>
        </w:rPr>
        <w:t xml:space="preserve"> </w:t>
      </w:r>
      <w:r w:rsidR="000E5625" w:rsidRPr="000E5625">
        <w:rPr>
          <w:rFonts w:ascii="Arial" w:hAnsi="Arial" w:cs="Arial"/>
          <w:bCs/>
          <w:lang w:val="pt-PT"/>
        </w:rPr>
        <w:t xml:space="preserve">que </w:t>
      </w:r>
      <w:r w:rsidR="009329E1">
        <w:rPr>
          <w:rFonts w:ascii="Arial" w:hAnsi="Arial" w:cs="Arial"/>
          <w:bCs/>
          <w:lang w:val="pt-PT"/>
        </w:rPr>
        <w:t>foi</w:t>
      </w:r>
      <w:r w:rsidR="000E5625" w:rsidRPr="000E5625">
        <w:rPr>
          <w:rFonts w:ascii="Arial" w:hAnsi="Arial" w:cs="Arial"/>
          <w:bCs/>
          <w:lang w:val="pt-PT"/>
        </w:rPr>
        <w:t xml:space="preserve"> favorável </w:t>
      </w:r>
      <w:r w:rsidR="001A439F">
        <w:rPr>
          <w:rFonts w:ascii="Arial" w:hAnsi="Arial" w:cs="Arial"/>
          <w:bCs/>
          <w:lang w:val="pt-PT"/>
        </w:rPr>
        <w:t xml:space="preserve">à </w:t>
      </w:r>
      <w:r w:rsidR="009329E1">
        <w:rPr>
          <w:rFonts w:ascii="Arial" w:hAnsi="Arial" w:cs="Arial"/>
          <w:bCs/>
          <w:lang w:val="pt-PT"/>
        </w:rPr>
        <w:t>regularidade</w:t>
      </w:r>
      <w:r w:rsidR="000E5625" w:rsidRPr="000E5625">
        <w:rPr>
          <w:rFonts w:ascii="Arial" w:hAnsi="Arial" w:cs="Arial"/>
          <w:bCs/>
          <w:lang w:val="pt-PT"/>
        </w:rPr>
        <w:t xml:space="preserve"> das contas</w:t>
      </w:r>
      <w:r w:rsidR="001F197E" w:rsidRPr="000E5625">
        <w:rPr>
          <w:rFonts w:ascii="Arial" w:hAnsi="Arial" w:cs="Arial"/>
          <w:bCs/>
          <w:lang w:val="pt-PT"/>
        </w:rPr>
        <w:t>.</w:t>
      </w:r>
    </w:p>
    <w:p w14:paraId="70256700" w14:textId="77777777" w:rsidR="000E5625" w:rsidRPr="000E5625" w:rsidRDefault="000E5625" w:rsidP="00DA63FA">
      <w:pPr>
        <w:pStyle w:val="Padro"/>
        <w:tabs>
          <w:tab w:val="left" w:pos="0"/>
        </w:tabs>
        <w:ind w:firstLine="1418"/>
        <w:jc w:val="both"/>
        <w:rPr>
          <w:rFonts w:ascii="Arial" w:hAnsi="Arial" w:cs="Arial"/>
          <w:bCs/>
          <w:lang w:val="pt-PT"/>
        </w:rPr>
      </w:pPr>
    </w:p>
    <w:p w14:paraId="5D64FC06" w14:textId="77777777" w:rsidR="000E5625" w:rsidRDefault="000E5625" w:rsidP="00DA63FA">
      <w:pPr>
        <w:pStyle w:val="Padro"/>
        <w:tabs>
          <w:tab w:val="left" w:pos="0"/>
        </w:tabs>
        <w:ind w:firstLine="1418"/>
        <w:jc w:val="both"/>
        <w:rPr>
          <w:rFonts w:ascii="Arial" w:hAnsi="Arial" w:cs="Arial"/>
          <w:lang w:val="pt-PT"/>
        </w:rPr>
      </w:pPr>
    </w:p>
    <w:p w14:paraId="0A921A2D" w14:textId="77777777" w:rsidR="00DA63FA" w:rsidRPr="001F197E" w:rsidRDefault="00DA63FA" w:rsidP="00DA63FA">
      <w:pPr>
        <w:pStyle w:val="Padro"/>
        <w:jc w:val="center"/>
        <w:rPr>
          <w:rFonts w:ascii="Arial" w:hAnsi="Arial" w:cs="Arial"/>
          <w:lang w:val="pt-PT"/>
        </w:rPr>
      </w:pPr>
    </w:p>
    <w:p w14:paraId="2202E493" w14:textId="77777777" w:rsidR="00DA63FA" w:rsidRPr="002F475F" w:rsidRDefault="00DA63FA" w:rsidP="00DA63FA">
      <w:pPr>
        <w:pStyle w:val="Padro"/>
        <w:jc w:val="center"/>
        <w:rPr>
          <w:rFonts w:ascii="Arial" w:hAnsi="Arial" w:cs="Arial"/>
          <w:color w:val="FF0000"/>
          <w:lang w:val="pt-PT"/>
        </w:rPr>
      </w:pPr>
    </w:p>
    <w:p w14:paraId="6407A607" w14:textId="77777777" w:rsidR="00D00672" w:rsidRPr="002F475F" w:rsidRDefault="00DD2414" w:rsidP="006C7527">
      <w:pPr>
        <w:pStyle w:val="Padro"/>
        <w:jc w:val="center"/>
        <w:rPr>
          <w:rFonts w:ascii="Arial" w:hAnsi="Arial" w:cs="Arial"/>
          <w:color w:val="000000"/>
          <w:lang w:val="pt-PT"/>
        </w:rPr>
      </w:pPr>
      <w:r w:rsidRPr="002F475F">
        <w:rPr>
          <w:rFonts w:ascii="Arial" w:hAnsi="Arial" w:cs="Arial"/>
          <w:color w:val="000000"/>
          <w:lang w:val="pt-PT"/>
        </w:rPr>
        <w:t xml:space="preserve">Botucatu, </w:t>
      </w:r>
      <w:r w:rsidR="00740434">
        <w:rPr>
          <w:rFonts w:ascii="Arial" w:hAnsi="Arial" w:cs="Arial"/>
          <w:color w:val="000000"/>
          <w:lang w:val="pt-PT"/>
        </w:rPr>
        <w:t>02</w:t>
      </w:r>
      <w:r w:rsidR="00D00672" w:rsidRPr="002F475F">
        <w:rPr>
          <w:rFonts w:ascii="Arial" w:hAnsi="Arial" w:cs="Arial"/>
          <w:color w:val="000000"/>
          <w:lang w:val="pt-PT"/>
        </w:rPr>
        <w:t xml:space="preserve"> de </w:t>
      </w:r>
      <w:r w:rsidR="00740434">
        <w:rPr>
          <w:rFonts w:ascii="Arial" w:hAnsi="Arial" w:cs="Arial"/>
          <w:color w:val="000000"/>
          <w:lang w:val="pt-PT"/>
        </w:rPr>
        <w:t>abril</w:t>
      </w:r>
      <w:r w:rsidR="00D00672" w:rsidRPr="002F475F">
        <w:rPr>
          <w:rFonts w:ascii="Arial" w:hAnsi="Arial" w:cs="Arial"/>
          <w:color w:val="000000"/>
          <w:lang w:val="pt-PT"/>
        </w:rPr>
        <w:t xml:space="preserve"> de 202</w:t>
      </w:r>
      <w:r w:rsidR="00740434">
        <w:rPr>
          <w:rFonts w:ascii="Arial" w:hAnsi="Arial" w:cs="Arial"/>
          <w:color w:val="000000"/>
          <w:lang w:val="pt-PT"/>
        </w:rPr>
        <w:t>5</w:t>
      </w:r>
      <w:r w:rsidR="00D00672" w:rsidRPr="002F475F">
        <w:rPr>
          <w:rFonts w:ascii="Arial" w:hAnsi="Arial" w:cs="Arial"/>
          <w:color w:val="000000"/>
          <w:lang w:val="pt-PT"/>
        </w:rPr>
        <w:t>.</w:t>
      </w:r>
    </w:p>
    <w:p w14:paraId="14795774" w14:textId="77777777" w:rsidR="004B647A" w:rsidRPr="002F475F" w:rsidRDefault="004B647A" w:rsidP="006C7527">
      <w:pPr>
        <w:pStyle w:val="Padro"/>
        <w:jc w:val="center"/>
        <w:rPr>
          <w:rFonts w:ascii="Arial" w:hAnsi="Arial" w:cs="Arial"/>
          <w:color w:val="000000"/>
          <w:lang w:val="pt-PT"/>
        </w:rPr>
      </w:pPr>
    </w:p>
    <w:p w14:paraId="0E1CA8C1" w14:textId="77777777" w:rsidR="00D00672" w:rsidRPr="002F475F" w:rsidRDefault="00D00672" w:rsidP="006C7527">
      <w:pPr>
        <w:pStyle w:val="Padro"/>
        <w:jc w:val="center"/>
        <w:rPr>
          <w:rFonts w:ascii="Arial" w:hAnsi="Arial" w:cs="Arial"/>
          <w:color w:val="000000"/>
          <w:lang w:val="pt-PT"/>
        </w:rPr>
      </w:pPr>
    </w:p>
    <w:p w14:paraId="7C829CA5" w14:textId="77777777" w:rsidR="00D00672" w:rsidRPr="002F475F" w:rsidRDefault="00D00672" w:rsidP="006C752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F475F">
        <w:rPr>
          <w:rFonts w:ascii="Arial" w:hAnsi="Arial" w:cs="Arial"/>
          <w:b/>
          <w:sz w:val="24"/>
          <w:szCs w:val="24"/>
          <w:u w:val="single"/>
        </w:rPr>
        <w:t>COMISSÃO DE ORÇAMENTO, FINANÇAS E CONTABILIDADE</w:t>
      </w:r>
    </w:p>
    <w:p w14:paraId="39C07069" w14:textId="77777777" w:rsidR="00D00672" w:rsidRDefault="00D00672" w:rsidP="006C7527">
      <w:pPr>
        <w:tabs>
          <w:tab w:val="left" w:pos="916"/>
          <w:tab w:val="left" w:pos="1832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</w:p>
    <w:p w14:paraId="26A53966" w14:textId="77777777" w:rsidR="00740434" w:rsidRPr="002F475F" w:rsidRDefault="00740434" w:rsidP="006C7527">
      <w:pPr>
        <w:tabs>
          <w:tab w:val="left" w:pos="916"/>
          <w:tab w:val="left" w:pos="1832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</w:p>
    <w:p w14:paraId="2B97BBF2" w14:textId="77777777" w:rsidR="007E242F" w:rsidRPr="002F475F" w:rsidRDefault="00D00672" w:rsidP="006C7527">
      <w:pPr>
        <w:tabs>
          <w:tab w:val="left" w:pos="916"/>
          <w:tab w:val="left" w:pos="1832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2F475F">
        <w:rPr>
          <w:rFonts w:ascii="Arial" w:hAnsi="Arial" w:cs="Arial"/>
          <w:sz w:val="24"/>
          <w:szCs w:val="24"/>
        </w:rPr>
        <w:t xml:space="preserve">Vereador </w:t>
      </w:r>
      <w:r w:rsidR="007E242F" w:rsidRPr="002F475F">
        <w:rPr>
          <w:rFonts w:ascii="Arial" w:hAnsi="Arial" w:cs="Arial"/>
          <w:b/>
          <w:bCs/>
          <w:sz w:val="24"/>
          <w:szCs w:val="24"/>
        </w:rPr>
        <w:t>LELO PAGANI</w:t>
      </w:r>
    </w:p>
    <w:p w14:paraId="77120E19" w14:textId="77777777" w:rsidR="00D00672" w:rsidRPr="002F475F" w:rsidRDefault="00D00672" w:rsidP="006C7527">
      <w:pPr>
        <w:tabs>
          <w:tab w:val="left" w:pos="916"/>
          <w:tab w:val="left" w:pos="1832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  <w:r w:rsidRPr="002F475F">
        <w:rPr>
          <w:rFonts w:ascii="Arial" w:hAnsi="Arial" w:cs="Arial"/>
          <w:sz w:val="24"/>
          <w:szCs w:val="24"/>
        </w:rPr>
        <w:t>Presidente</w:t>
      </w:r>
    </w:p>
    <w:p w14:paraId="0AB3D776" w14:textId="77777777" w:rsidR="00D00672" w:rsidRPr="002F475F" w:rsidRDefault="00D00672" w:rsidP="006C7527">
      <w:pPr>
        <w:tabs>
          <w:tab w:val="left" w:pos="916"/>
          <w:tab w:val="left" w:pos="1832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p w14:paraId="305D7F71" w14:textId="77777777" w:rsidR="006C7527" w:rsidRPr="002F475F" w:rsidRDefault="006C7527" w:rsidP="006C7527">
      <w:pPr>
        <w:tabs>
          <w:tab w:val="left" w:pos="916"/>
          <w:tab w:val="left" w:pos="1832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0"/>
        <w:gridCol w:w="4461"/>
      </w:tblGrid>
      <w:tr w:rsidR="006C7527" w:rsidRPr="002F475F" w14:paraId="40F4F0DB" w14:textId="77777777" w:rsidTr="006C7527">
        <w:tc>
          <w:tcPr>
            <w:tcW w:w="4460" w:type="dxa"/>
          </w:tcPr>
          <w:p w14:paraId="0DEEE706" w14:textId="77777777" w:rsidR="006C7527" w:rsidRPr="002F475F" w:rsidRDefault="006C7527" w:rsidP="006C7527">
            <w:pPr>
              <w:tabs>
                <w:tab w:val="left" w:pos="916"/>
                <w:tab w:val="left" w:pos="1832"/>
                <w:tab w:val="left" w:pos="283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475F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7E242F" w:rsidRPr="002F475F">
              <w:rPr>
                <w:rFonts w:ascii="Arial" w:hAnsi="Arial" w:cs="Arial"/>
                <w:b/>
                <w:sz w:val="24"/>
                <w:szCs w:val="24"/>
              </w:rPr>
              <w:t>ZÉ FERNANDES</w:t>
            </w:r>
          </w:p>
          <w:p w14:paraId="212183E9" w14:textId="77777777" w:rsidR="006C7527" w:rsidRPr="002F475F" w:rsidRDefault="006C7527" w:rsidP="006C7527">
            <w:pPr>
              <w:tabs>
                <w:tab w:val="left" w:pos="916"/>
                <w:tab w:val="left" w:pos="1832"/>
                <w:tab w:val="left" w:pos="283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475F"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461" w:type="dxa"/>
          </w:tcPr>
          <w:p w14:paraId="1DCE3400" w14:textId="77777777" w:rsidR="006C7527" w:rsidRPr="002F475F" w:rsidRDefault="006C7527" w:rsidP="006C7527">
            <w:pPr>
              <w:tabs>
                <w:tab w:val="left" w:pos="916"/>
                <w:tab w:val="left" w:pos="1832"/>
                <w:tab w:val="left" w:pos="283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475F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7E242F" w:rsidRPr="002F475F">
              <w:rPr>
                <w:rFonts w:ascii="Arial" w:hAnsi="Arial" w:cs="Arial"/>
                <w:b/>
                <w:sz w:val="24"/>
                <w:szCs w:val="24"/>
              </w:rPr>
              <w:t>WELINTON JAPA</w:t>
            </w:r>
          </w:p>
          <w:p w14:paraId="0AAD99E1" w14:textId="77777777" w:rsidR="006C7527" w:rsidRPr="002F475F" w:rsidRDefault="006C7527" w:rsidP="006C7527">
            <w:pPr>
              <w:tabs>
                <w:tab w:val="left" w:pos="916"/>
                <w:tab w:val="left" w:pos="1832"/>
                <w:tab w:val="left" w:pos="2835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475F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14:paraId="0FC8CA2B" w14:textId="77777777" w:rsidR="00D00672" w:rsidRPr="002F475F" w:rsidRDefault="00D00672" w:rsidP="00E02ADB">
      <w:pPr>
        <w:tabs>
          <w:tab w:val="left" w:pos="916"/>
          <w:tab w:val="left" w:pos="1832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</w:p>
    <w:sectPr w:rsidR="00D00672" w:rsidRPr="002F475F" w:rsidSect="006C7527">
      <w:headerReference w:type="default" r:id="rId7"/>
      <w:footerReference w:type="default" r:id="rId8"/>
      <w:pgSz w:w="11907" w:h="16840" w:code="9"/>
      <w:pgMar w:top="1247" w:right="1275" w:bottom="1276" w:left="1701" w:header="284" w:footer="3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B6E57" w14:textId="77777777" w:rsidR="00DF4B50" w:rsidRDefault="00DF4B50" w:rsidP="000625D4">
      <w:r>
        <w:separator/>
      </w:r>
    </w:p>
  </w:endnote>
  <w:endnote w:type="continuationSeparator" w:id="0">
    <w:p w14:paraId="4F6778C8" w14:textId="77777777" w:rsidR="00DF4B50" w:rsidRDefault="00DF4B50" w:rsidP="00062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D455E" w14:textId="77777777" w:rsidR="00D25996" w:rsidRDefault="00D25996">
    <w:pPr>
      <w:pStyle w:val="Rodap"/>
    </w:pPr>
  </w:p>
  <w:p w14:paraId="00DAF873" w14:textId="77777777" w:rsidR="00D25996" w:rsidRPr="000E70AD" w:rsidRDefault="005E0231">
    <w:pPr>
      <w:pStyle w:val="Rodap"/>
      <w:jc w:val="center"/>
      <w:rPr>
        <w:sz w:val="17"/>
        <w:szCs w:val="17"/>
      </w:rPr>
    </w:pPr>
    <w:r w:rsidRPr="000E70AD">
      <w:rPr>
        <w:sz w:val="17"/>
        <w:szCs w:val="17"/>
      </w:rPr>
      <w:t xml:space="preserve">Edifício “Vereador Abílio </w:t>
    </w:r>
    <w:proofErr w:type="spellStart"/>
    <w:r w:rsidRPr="000E70AD">
      <w:rPr>
        <w:sz w:val="17"/>
        <w:szCs w:val="17"/>
      </w:rPr>
      <w:t>Dorini</w:t>
    </w:r>
    <w:proofErr w:type="spellEnd"/>
    <w:r w:rsidRPr="000E70AD">
      <w:rPr>
        <w:sz w:val="17"/>
        <w:szCs w:val="17"/>
      </w:rPr>
      <w:t>” – Praça Comendador Emílio Peduti, 112 – 18600-410 - Fone: (</w:t>
    </w:r>
    <w:r w:rsidR="000E70AD" w:rsidRPr="000E70AD">
      <w:rPr>
        <w:sz w:val="17"/>
        <w:szCs w:val="17"/>
      </w:rPr>
      <w:t>14) 3112-2650 /</w:t>
    </w:r>
    <w:r w:rsidRPr="000E70AD">
      <w:rPr>
        <w:sz w:val="17"/>
        <w:szCs w:val="17"/>
      </w:rPr>
      <w:t xml:space="preserve"> Botucatu – SP</w:t>
    </w:r>
  </w:p>
  <w:p w14:paraId="6B7A0A53" w14:textId="77777777" w:rsidR="00D25996" w:rsidRPr="00391174" w:rsidRDefault="005E0231">
    <w:pPr>
      <w:pStyle w:val="Rodap"/>
      <w:jc w:val="center"/>
      <w:rPr>
        <w:sz w:val="18"/>
        <w:szCs w:val="18"/>
      </w:rPr>
    </w:pPr>
    <w:hyperlink r:id="rId1" w:history="1">
      <w:r w:rsidRPr="000E70AD">
        <w:rPr>
          <w:rStyle w:val="Hyperlink"/>
          <w:sz w:val="17"/>
          <w:szCs w:val="17"/>
        </w:rPr>
        <w:t>http://www.camara</w:t>
      </w:r>
    </w:hyperlink>
    <w:r w:rsidRPr="000E70AD">
      <w:rPr>
        <w:color w:val="0000FF"/>
        <w:sz w:val="17"/>
        <w:szCs w:val="17"/>
        <w:u w:val="single"/>
      </w:rPr>
      <w:t>botucatu.sp.gov.br</w:t>
    </w:r>
    <w:r w:rsidRPr="000E70AD">
      <w:rPr>
        <w:color w:val="0000FF"/>
        <w:sz w:val="17"/>
        <w:szCs w:val="17"/>
      </w:rPr>
      <w:t xml:space="preserve">  </w:t>
    </w:r>
    <w:r w:rsidRPr="000E70AD">
      <w:rPr>
        <w:color w:val="000000"/>
        <w:sz w:val="17"/>
        <w:szCs w:val="17"/>
      </w:rPr>
      <w:t>E-mail:</w:t>
    </w:r>
    <w:r w:rsidRPr="000E70AD">
      <w:rPr>
        <w:color w:val="0000FF"/>
        <w:sz w:val="17"/>
        <w:szCs w:val="17"/>
      </w:rPr>
      <w:t xml:space="preserve"> </w:t>
    </w:r>
    <w:r w:rsidRPr="000E70AD">
      <w:rPr>
        <w:color w:val="0000FF"/>
        <w:sz w:val="17"/>
        <w:szCs w:val="17"/>
        <w:u w:val="single"/>
      </w:rPr>
      <w:t>diretoria</w:t>
    </w:r>
    <w:r w:rsidRPr="00391174">
      <w:rPr>
        <w:color w:val="0000FF"/>
        <w:sz w:val="18"/>
        <w:szCs w:val="18"/>
        <w:u w:val="single"/>
      </w:rPr>
      <w:t>@camarabotucatu.sp.gov.br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3EA06" w14:textId="77777777" w:rsidR="00DF4B50" w:rsidRDefault="00DF4B50" w:rsidP="000625D4">
      <w:r>
        <w:separator/>
      </w:r>
    </w:p>
  </w:footnote>
  <w:footnote w:type="continuationSeparator" w:id="0">
    <w:p w14:paraId="3C40C6EC" w14:textId="77777777" w:rsidR="00DF4B50" w:rsidRDefault="00DF4B50" w:rsidP="00062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7276" w14:textId="77777777" w:rsidR="00D25996" w:rsidRDefault="000625D4" w:rsidP="000625D4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60288" behindDoc="0" locked="0" layoutInCell="1" allowOverlap="1" wp14:anchorId="54C38C23" wp14:editId="6CE3FCF2">
          <wp:simplePos x="0" y="0"/>
          <wp:positionH relativeFrom="column">
            <wp:posOffset>5864225</wp:posOffset>
          </wp:positionH>
          <wp:positionV relativeFrom="paragraph">
            <wp:posOffset>19050</wp:posOffset>
          </wp:positionV>
          <wp:extent cx="525145" cy="594360"/>
          <wp:effectExtent l="0" t="0" r="8255" b="0"/>
          <wp:wrapTopAndBottom/>
          <wp:docPr id="27" name="Imagem 27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 wp14:anchorId="016BAEC7" wp14:editId="1B1CBA46">
          <wp:simplePos x="0" y="0"/>
          <wp:positionH relativeFrom="column">
            <wp:posOffset>82550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28" name="Imagem 28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0231">
      <w:rPr>
        <w:rFonts w:ascii="Arial" w:hAnsi="Arial"/>
        <w:b/>
        <w:sz w:val="32"/>
        <w:u w:val="single"/>
      </w:rPr>
      <w:t>CÂMARA MUNICIPAL DE BOTUCATU</w:t>
    </w:r>
  </w:p>
  <w:p w14:paraId="6A91037D" w14:textId="77777777" w:rsidR="000625D4" w:rsidRDefault="000625D4" w:rsidP="000625D4">
    <w:pPr>
      <w:pStyle w:val="Cabealho"/>
      <w:jc w:val="center"/>
      <w:rPr>
        <w:rFonts w:ascii="Arial" w:hAnsi="Arial"/>
        <w:b/>
        <w:sz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607A2"/>
    <w:multiLevelType w:val="hybridMultilevel"/>
    <w:tmpl w:val="2942382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3022C0"/>
    <w:multiLevelType w:val="hybridMultilevel"/>
    <w:tmpl w:val="A904A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B6C58"/>
    <w:multiLevelType w:val="hybridMultilevel"/>
    <w:tmpl w:val="7DD833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4063256">
    <w:abstractNumId w:val="1"/>
  </w:num>
  <w:num w:numId="2" w16cid:durableId="12113088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2945900">
    <w:abstractNumId w:val="2"/>
  </w:num>
  <w:num w:numId="4" w16cid:durableId="151029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5D4"/>
    <w:rsid w:val="000625D4"/>
    <w:rsid w:val="000E5625"/>
    <w:rsid w:val="000E70AD"/>
    <w:rsid w:val="00107C94"/>
    <w:rsid w:val="00143DCB"/>
    <w:rsid w:val="00182C42"/>
    <w:rsid w:val="001A439F"/>
    <w:rsid w:val="001E7999"/>
    <w:rsid w:val="001F197E"/>
    <w:rsid w:val="002E710F"/>
    <w:rsid w:val="002F475F"/>
    <w:rsid w:val="00313732"/>
    <w:rsid w:val="003C79D1"/>
    <w:rsid w:val="00447771"/>
    <w:rsid w:val="0048368A"/>
    <w:rsid w:val="004B0095"/>
    <w:rsid w:val="004B647A"/>
    <w:rsid w:val="00532966"/>
    <w:rsid w:val="00540296"/>
    <w:rsid w:val="005E0231"/>
    <w:rsid w:val="0064542D"/>
    <w:rsid w:val="006A4B45"/>
    <w:rsid w:val="006C3E52"/>
    <w:rsid w:val="006C7527"/>
    <w:rsid w:val="00740434"/>
    <w:rsid w:val="007B5C5E"/>
    <w:rsid w:val="007C7D40"/>
    <w:rsid w:val="007E242F"/>
    <w:rsid w:val="007F30C8"/>
    <w:rsid w:val="00884A41"/>
    <w:rsid w:val="008E48D4"/>
    <w:rsid w:val="009329E1"/>
    <w:rsid w:val="009A0CDD"/>
    <w:rsid w:val="009A1518"/>
    <w:rsid w:val="009C457D"/>
    <w:rsid w:val="009F7117"/>
    <w:rsid w:val="00A7584D"/>
    <w:rsid w:val="00A764F4"/>
    <w:rsid w:val="00A767B1"/>
    <w:rsid w:val="00A9171D"/>
    <w:rsid w:val="00AD53DB"/>
    <w:rsid w:val="00B46817"/>
    <w:rsid w:val="00B850AF"/>
    <w:rsid w:val="00BC030D"/>
    <w:rsid w:val="00BD4B9F"/>
    <w:rsid w:val="00C761E2"/>
    <w:rsid w:val="00CB123C"/>
    <w:rsid w:val="00CB1B44"/>
    <w:rsid w:val="00D00672"/>
    <w:rsid w:val="00D25996"/>
    <w:rsid w:val="00D64454"/>
    <w:rsid w:val="00DA63FA"/>
    <w:rsid w:val="00DD2414"/>
    <w:rsid w:val="00DF4B50"/>
    <w:rsid w:val="00E02ADB"/>
    <w:rsid w:val="00EA20D8"/>
    <w:rsid w:val="00EC77A8"/>
    <w:rsid w:val="00ED6680"/>
    <w:rsid w:val="00F305A6"/>
    <w:rsid w:val="00F4354D"/>
    <w:rsid w:val="00FB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F313D"/>
  <w15:chartTrackingRefBased/>
  <w15:docId w15:val="{544037C2-F273-4714-895C-62A42AE0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25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625D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625D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625D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0625D4"/>
    <w:rPr>
      <w:color w:val="0000FF"/>
      <w:u w:val="single"/>
    </w:rPr>
  </w:style>
  <w:style w:type="paragraph" w:customStyle="1" w:styleId="Padro">
    <w:name w:val="Padrão"/>
    <w:rsid w:val="000625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00672"/>
    <w:pPr>
      <w:spacing w:after="160" w:line="254" w:lineRule="auto"/>
      <w:ind w:left="708"/>
    </w:pPr>
    <w:rPr>
      <w:rFonts w:asciiTheme="minorHAnsi" w:eastAsiaTheme="minorEastAsia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C7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972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Rosângela</cp:lastModifiedBy>
  <cp:revision>8</cp:revision>
  <dcterms:created xsi:type="dcterms:W3CDTF">2025-04-02T11:30:00Z</dcterms:created>
  <dcterms:modified xsi:type="dcterms:W3CDTF">2025-04-04T22:00:00Z</dcterms:modified>
</cp:coreProperties>
</file>